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E0E6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D31C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6F9EC73D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394E68E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101BDFA8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185FF32B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40088DF" w14:textId="3BFC01B0" w:rsidR="002C7B9F" w:rsidRPr="001C1E0F" w:rsidRDefault="003F7BB3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26269B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junio</w:t>
      </w:r>
      <w:r w:rsidR="0026269B">
        <w:rPr>
          <w:color w:val="000000"/>
          <w:sz w:val="20"/>
          <w:szCs w:val="20"/>
        </w:rPr>
        <w:t xml:space="preserve"> de 2024</w:t>
      </w:r>
    </w:p>
    <w:p w14:paraId="138F9B19" w14:textId="77777777" w:rsidR="002C7B9F" w:rsidRPr="001C1E0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073DB785" w14:textId="76756F9A" w:rsidR="00D31DB1" w:rsidRPr="0026269B" w:rsidRDefault="0026269B" w:rsidP="00AB3C5D">
      <w:pPr>
        <w:pStyle w:val="Ternium-Title"/>
        <w:tabs>
          <w:tab w:val="left" w:pos="0"/>
        </w:tabs>
        <w:jc w:val="both"/>
        <w:rPr>
          <w:rFonts w:ascii="TradeGothic" w:hAnsi="TradeGothic"/>
          <w:b/>
          <w:sz w:val="28"/>
          <w:szCs w:val="28"/>
        </w:rPr>
      </w:pPr>
      <w:r w:rsidRPr="0026269B">
        <w:rPr>
          <w:rFonts w:ascii="TradeGothic" w:hAnsi="TradeGothic"/>
          <w:b/>
          <w:sz w:val="28"/>
          <w:szCs w:val="28"/>
        </w:rPr>
        <w:t xml:space="preserve">Academia en Acción – </w:t>
      </w:r>
      <w:r w:rsidR="003F7BB3">
        <w:rPr>
          <w:rFonts w:ascii="TradeGothic" w:hAnsi="TradeGothic"/>
          <w:b/>
          <w:sz w:val="28"/>
          <w:szCs w:val="28"/>
        </w:rPr>
        <w:t xml:space="preserve">Ganadores </w:t>
      </w:r>
      <w:r w:rsidRPr="0026269B">
        <w:rPr>
          <w:rFonts w:ascii="TradeGothic" w:hAnsi="TradeGothic"/>
          <w:b/>
          <w:sz w:val="28"/>
          <w:szCs w:val="28"/>
        </w:rPr>
        <w:t>Convocatoria: “Proyectos que Transforman la Comunidad”</w:t>
      </w:r>
    </w:p>
    <w:p w14:paraId="65B62DF3" w14:textId="77777777" w:rsidR="00AB3C5D" w:rsidRDefault="00AB3C5D" w:rsidP="001C1E0F">
      <w:pPr>
        <w:pStyle w:val="Ternium-Title"/>
        <w:tabs>
          <w:tab w:val="left" w:pos="0"/>
        </w:tabs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</w:pPr>
    </w:p>
    <w:p w14:paraId="190DABCE" w14:textId="4EF7F8EC" w:rsidR="0026269B" w:rsidRPr="00AB3C5D" w:rsidRDefault="0026269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</w:pPr>
      <w:r w:rsidRPr="00AB3C5D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 xml:space="preserve">En el marco del programa Academia de Desarrollo Institucional que Ternium instrumenta en conjunto con la Agencia de Desarrollo desde el año 2018, </w:t>
      </w:r>
      <w:r w:rsidR="003F7BB3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>se dieron a conocer a las 3</w:t>
      </w:r>
      <w:r w:rsidRPr="00AB3C5D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 xml:space="preserve"> Organizaciones de la Sociedad Civil (OSC) </w:t>
      </w:r>
      <w:r w:rsidR="003F7BB3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>ganadoras de la 1° edición de la convoca</w:t>
      </w:r>
      <w:r w:rsidR="0093756C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 xml:space="preserve">toria: Cruz Roja, </w:t>
      </w:r>
      <w:r w:rsidR="0093756C" w:rsidRPr="0093756C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>Centro Juvenil San Luis Gonzaga</w:t>
      </w:r>
      <w:r w:rsidR="0093756C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 xml:space="preserve"> y </w:t>
      </w:r>
      <w:r w:rsidR="0093756C" w:rsidRPr="0093756C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>Centro Cultural UTN FRSN</w:t>
      </w:r>
    </w:p>
    <w:p w14:paraId="43B0C5FB" w14:textId="77777777" w:rsidR="003F7BB3" w:rsidRDefault="003F7BB3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  <w:shd w:val="clear" w:color="auto" w:fill="FFFFFF"/>
        </w:rPr>
      </w:pPr>
    </w:p>
    <w:p w14:paraId="4BCF2200" w14:textId="44AFC9F1" w:rsidR="0026269B" w:rsidRDefault="0026269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  <w:r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La convocatoria "Proyectos que transforman la comunidad", </w:t>
      </w:r>
      <w:r w:rsidR="003F7BB3">
        <w:rPr>
          <w:rFonts w:ascii="Sabon MT" w:hAnsi="Sabon MT" w:cs="Arial"/>
          <w:color w:val="auto"/>
          <w:sz w:val="22"/>
          <w:szCs w:val="22"/>
          <w:shd w:val="clear" w:color="auto" w:fill="FFFFFF"/>
        </w:rPr>
        <w:t>consistió en una propuesta con el objetivo de</w:t>
      </w:r>
      <w:r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 apoyar iniciativas originadas en problemáticas reales y de impacto social que </w:t>
      </w:r>
      <w:r w:rsidR="003F7BB3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fueran </w:t>
      </w:r>
      <w:r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>relevantes para la comunidad</w:t>
      </w:r>
      <w:r w:rsidR="00F026F6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, con la intención de poder </w:t>
      </w:r>
      <w:r w:rsidR="008478F8" w:rsidRPr="003F0D0E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financiar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las desde Ternium  y lograr que se concreten en</w:t>
      </w:r>
      <w:r w:rsidR="008478F8" w:rsidRPr="003F0D0E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las comunidades cercanas en donde 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la </w:t>
      </w:r>
      <w:r w:rsidR="001C07E5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siderúrgica</w:t>
      </w:r>
      <w:bookmarkStart w:id="0" w:name="_GoBack"/>
      <w:bookmarkEnd w:id="0"/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tiene su</w:t>
      </w:r>
      <w:r w:rsidR="008478F8" w:rsidRPr="003F0D0E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 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principal</w:t>
      </w:r>
      <w:r w:rsidR="003F7BB3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planta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productiva</w:t>
      </w:r>
      <w:r w:rsidR="003F7BB3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. </w:t>
      </w:r>
    </w:p>
    <w:p w14:paraId="1EC5DEF3" w14:textId="681E88C3" w:rsidR="003F7BB3" w:rsidRDefault="003F7BB3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  <w:r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En esta primera edición se recibieron 16 proyectos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de OSC de Ramallo y San Nicolás</w:t>
      </w:r>
      <w:r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, los cuales fueron evaluados por un comité integrado por representantes</w:t>
      </w:r>
      <w:r w:rsidR="00F1451D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de distintas áreas</w:t>
      </w:r>
      <w:r w:rsidR="00F026F6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 de Ternium, del área de Relaciones con la C</w:t>
      </w:r>
      <w:r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>omunidad de la Organización Techint, la Agencia de Desarrollo de San Nicolás y la Fundación Bolsa de Comercio de Rosario.</w:t>
      </w:r>
    </w:p>
    <w:p w14:paraId="055FD11C" w14:textId="70F5F70D" w:rsidR="00CC54A4" w:rsidRPr="003F0D0E" w:rsidRDefault="003F7BB3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  <w:r>
        <w:rPr>
          <w:rFonts w:ascii="Sabon MT" w:hAnsi="Sabon MT" w:cs="Arial"/>
          <w:color w:val="auto"/>
          <w:sz w:val="22"/>
          <w:szCs w:val="22"/>
        </w:rPr>
        <w:t xml:space="preserve">Los aspectos </w:t>
      </w:r>
      <w:r w:rsidR="00F1451D">
        <w:rPr>
          <w:rFonts w:ascii="Sabon MT" w:hAnsi="Sabon MT" w:cs="Arial"/>
          <w:color w:val="auto"/>
          <w:sz w:val="22"/>
          <w:szCs w:val="22"/>
        </w:rPr>
        <w:t xml:space="preserve">descriptos en las Bases y Condiciones y </w:t>
      </w:r>
      <w:r>
        <w:rPr>
          <w:rFonts w:ascii="Sabon MT" w:hAnsi="Sabon MT" w:cs="Arial"/>
          <w:color w:val="auto"/>
          <w:sz w:val="22"/>
          <w:szCs w:val="22"/>
        </w:rPr>
        <w:t xml:space="preserve">que se tuvieron en cuenta al momento de la evaluación fueron: </w:t>
      </w:r>
      <w:r w:rsidR="003F0D0E">
        <w:rPr>
          <w:rFonts w:ascii="Sabon MT" w:hAnsi="Sabon MT" w:cs="Arial"/>
          <w:color w:val="auto"/>
          <w:sz w:val="22"/>
          <w:szCs w:val="22"/>
        </w:rPr>
        <w:t xml:space="preserve"> </w:t>
      </w:r>
    </w:p>
    <w:p w14:paraId="1BF358E1" w14:textId="2710615D" w:rsidR="00F66496" w:rsidRDefault="00F66496" w:rsidP="00F66496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provengan de organizaciones formalmente constituidas de las comunidades de San Nicolás o Ramallo.</w:t>
      </w:r>
    </w:p>
    <w:p w14:paraId="6507AB70" w14:textId="6F97570C" w:rsidR="003F0D0E" w:rsidRPr="00F66496" w:rsidRDefault="00F66496" w:rsidP="00F66496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respondieran</w:t>
      </w:r>
      <w:r w:rsidR="003F0D0E" w:rsidRPr="00F66496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F66496">
        <w:rPr>
          <w:rFonts w:ascii="Sabon MT" w:hAnsi="Sabon MT" w:cs="Arial"/>
          <w:sz w:val="22"/>
          <w:szCs w:val="22"/>
        </w:rPr>
        <w:t>a necesidades</w:t>
      </w:r>
      <w:r w:rsidR="002C290A" w:rsidRPr="00F66496">
        <w:rPr>
          <w:rFonts w:ascii="Sabon MT" w:hAnsi="Sabon MT" w:cs="Arial"/>
          <w:spacing w:val="-1"/>
          <w:sz w:val="22"/>
          <w:szCs w:val="22"/>
        </w:rPr>
        <w:t xml:space="preserve"> </w:t>
      </w:r>
      <w:r w:rsidR="00D25D40" w:rsidRPr="00F66496">
        <w:rPr>
          <w:rFonts w:ascii="Sabon MT" w:hAnsi="Sabon MT" w:cs="Arial"/>
          <w:sz w:val="22"/>
          <w:szCs w:val="22"/>
        </w:rPr>
        <w:t>que</w:t>
      </w:r>
      <w:r w:rsidR="002C290A" w:rsidRPr="00F66496">
        <w:rPr>
          <w:rFonts w:ascii="Sabon MT" w:hAnsi="Sabon MT" w:cs="Arial"/>
          <w:sz w:val="22"/>
          <w:szCs w:val="22"/>
        </w:rPr>
        <w:t xml:space="preserve"> tengan impacto social y se </w:t>
      </w:r>
      <w:r w:rsidR="00D25D40" w:rsidRPr="00F66496">
        <w:rPr>
          <w:rFonts w:ascii="Sabon MT" w:hAnsi="Sabon MT" w:cs="Arial"/>
          <w:sz w:val="22"/>
          <w:szCs w:val="22"/>
        </w:rPr>
        <w:t>traduzcan en mejoras concretas y sostenibles en el tiempo</w:t>
      </w:r>
    </w:p>
    <w:p w14:paraId="7248DE72" w14:textId="77EE9AF8" w:rsidR="003F0D0E" w:rsidRPr="003F0D0E" w:rsidRDefault="00F66496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promuevan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la</w:t>
      </w:r>
      <w:r w:rsidR="003F0D0E" w:rsidRPr="003F0D0E">
        <w:rPr>
          <w:rFonts w:ascii="Sabon MT" w:hAnsi="Sabon MT" w:cs="Arial"/>
          <w:spacing w:val="-1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educación, la salud, el arte y la cultura, e</w:t>
      </w:r>
      <w:r w:rsidR="00D25D40">
        <w:rPr>
          <w:rFonts w:ascii="Sabon MT" w:hAnsi="Sabon MT" w:cs="Arial"/>
          <w:sz w:val="22"/>
          <w:szCs w:val="22"/>
        </w:rPr>
        <w:t>l deporte o la inclusión social</w:t>
      </w:r>
    </w:p>
    <w:p w14:paraId="14B9D4AB" w14:textId="6F9EBEBC" w:rsidR="003F0D0E" w:rsidRPr="003F0D0E" w:rsidRDefault="00F66496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3"/>
        <w:ind w:right="966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provengan</w:t>
      </w:r>
      <w:r w:rsidR="003F0D0E" w:rsidRPr="003F0D0E">
        <w:rPr>
          <w:rFonts w:ascii="Sabon MT" w:hAnsi="Sabon MT" w:cs="Arial"/>
          <w:spacing w:val="-8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de</w:t>
      </w:r>
      <w:r w:rsidR="003F0D0E" w:rsidRPr="003F0D0E">
        <w:rPr>
          <w:rFonts w:ascii="Sabon MT" w:hAnsi="Sabon MT" w:cs="Arial"/>
          <w:spacing w:val="-8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Participantes con</w:t>
      </w:r>
      <w:r w:rsidR="003F0D0E" w:rsidRPr="003F0D0E">
        <w:rPr>
          <w:rFonts w:ascii="Sabon MT" w:hAnsi="Sabon MT" w:cs="Arial"/>
          <w:spacing w:val="-7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experiencia</w:t>
      </w:r>
      <w:r w:rsidR="003F0D0E" w:rsidRPr="003F0D0E">
        <w:rPr>
          <w:rFonts w:ascii="Sabon MT" w:hAnsi="Sabon MT" w:cs="Arial"/>
          <w:spacing w:val="-7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en</w:t>
      </w:r>
      <w:r w:rsidR="003F0D0E" w:rsidRPr="003F0D0E">
        <w:rPr>
          <w:rFonts w:ascii="Sabon MT" w:hAnsi="Sabon MT" w:cs="Arial"/>
          <w:spacing w:val="-9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la</w:t>
      </w:r>
      <w:r w:rsidR="003F0D0E" w:rsidRPr="003F0D0E">
        <w:rPr>
          <w:rFonts w:ascii="Sabon MT" w:hAnsi="Sabon MT" w:cs="Arial"/>
          <w:spacing w:val="-9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temátic</w:t>
      </w:r>
      <w:r w:rsidR="00D25D40">
        <w:rPr>
          <w:rFonts w:ascii="Sabon MT" w:hAnsi="Sabon MT" w:cs="Arial"/>
          <w:sz w:val="22"/>
          <w:szCs w:val="22"/>
        </w:rPr>
        <w:t>a;</w:t>
      </w:r>
    </w:p>
    <w:p w14:paraId="38206995" w14:textId="7CB61D4E" w:rsidR="003F0D0E" w:rsidRPr="003F0D0E" w:rsidRDefault="00F66496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construyan</w:t>
      </w:r>
      <w:r w:rsidR="00D25D40">
        <w:rPr>
          <w:rFonts w:ascii="Sabon MT" w:hAnsi="Sabon MT" w:cs="Arial"/>
          <w:sz w:val="22"/>
          <w:szCs w:val="22"/>
        </w:rPr>
        <w:t xml:space="preserve"> conocimientos que</w:t>
      </w:r>
      <w:r w:rsidR="003F0D0E" w:rsidRPr="003F0D0E">
        <w:rPr>
          <w:rFonts w:ascii="Sabon MT" w:hAnsi="Sabon MT" w:cs="Arial"/>
          <w:sz w:val="22"/>
          <w:szCs w:val="22"/>
        </w:rPr>
        <w:t xml:space="preserve"> dejen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capacidad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D25D40">
        <w:rPr>
          <w:rFonts w:ascii="Sabon MT" w:hAnsi="Sabon MT" w:cs="Arial"/>
          <w:sz w:val="22"/>
          <w:szCs w:val="22"/>
        </w:rPr>
        <w:t>instalada</w:t>
      </w:r>
    </w:p>
    <w:p w14:paraId="4E7F3B37" w14:textId="741638F7" w:rsidR="003F0D0E" w:rsidRDefault="00F66496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1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Que articulen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entre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varias organizaciones</w:t>
      </w:r>
      <w:r w:rsidR="003F0D0E" w:rsidRPr="003F0D0E">
        <w:rPr>
          <w:rFonts w:ascii="Sabon MT" w:hAnsi="Sabon MT" w:cs="Arial"/>
          <w:spacing w:val="1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de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la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D25D40">
        <w:rPr>
          <w:rFonts w:ascii="Sabon MT" w:hAnsi="Sabon MT" w:cs="Arial"/>
          <w:sz w:val="22"/>
          <w:szCs w:val="22"/>
        </w:rPr>
        <w:t>comunidad</w:t>
      </w:r>
    </w:p>
    <w:p w14:paraId="44644A2B" w14:textId="3EA2D38E" w:rsidR="008472AB" w:rsidRPr="00F66496" w:rsidRDefault="00F66496" w:rsidP="00F66496">
      <w:pPr>
        <w:pStyle w:val="Prrafodelista"/>
        <w:numPr>
          <w:ilvl w:val="0"/>
          <w:numId w:val="7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Sabon MT" w:hAnsi="Sabon MT" w:cs="Arial"/>
          <w:sz w:val="22"/>
          <w:szCs w:val="22"/>
        </w:rPr>
        <w:t>Que cuenten</w:t>
      </w:r>
      <w:r w:rsidR="00D25D40" w:rsidRPr="00D25D40">
        <w:rPr>
          <w:rFonts w:ascii="Sabon MT" w:hAnsi="Sabon MT" w:cs="Arial"/>
          <w:sz w:val="22"/>
          <w:szCs w:val="22"/>
        </w:rPr>
        <w:t xml:space="preserve"> con fondos ad</w:t>
      </w:r>
      <w:r>
        <w:rPr>
          <w:rFonts w:ascii="Sabon MT" w:hAnsi="Sabon MT" w:cs="Arial"/>
          <w:sz w:val="22"/>
          <w:szCs w:val="22"/>
        </w:rPr>
        <w:t>icionales propios o de terceros.</w:t>
      </w:r>
    </w:p>
    <w:p w14:paraId="079AB8FF" w14:textId="6ACA4F5D" w:rsidR="00F66496" w:rsidRPr="00CC54A4" w:rsidRDefault="00F66496" w:rsidP="00F66496">
      <w:pPr>
        <w:rPr>
          <w:rFonts w:ascii="Sabon MT" w:hAnsi="Sabon MT" w:cs="Arial"/>
          <w:sz w:val="22"/>
          <w:szCs w:val="22"/>
        </w:rPr>
      </w:pPr>
    </w:p>
    <w:p w14:paraId="3DDEEFE7" w14:textId="235EE035" w:rsidR="0093756C" w:rsidRDefault="00CC54A4" w:rsidP="0093756C">
      <w:pPr>
        <w:tabs>
          <w:tab w:val="left" w:pos="0"/>
        </w:tabs>
        <w:jc w:val="both"/>
        <w:rPr>
          <w:rFonts w:ascii="Sabon MT" w:hAnsi="Sabon MT" w:cs="Arial"/>
          <w:sz w:val="22"/>
          <w:szCs w:val="22"/>
        </w:rPr>
      </w:pPr>
      <w:r w:rsidRPr="00CC54A4">
        <w:rPr>
          <w:rFonts w:ascii="Sabon MT" w:hAnsi="Sabon MT" w:cs="Arial"/>
          <w:sz w:val="22"/>
          <w:szCs w:val="22"/>
        </w:rPr>
        <w:t>Los proyectos sele</w:t>
      </w:r>
      <w:r w:rsidR="0093756C">
        <w:rPr>
          <w:rFonts w:ascii="Sabon MT" w:hAnsi="Sabon MT" w:cs="Arial"/>
          <w:sz w:val="22"/>
          <w:szCs w:val="22"/>
        </w:rPr>
        <w:t xml:space="preserve">ccionados fueron los siguientes. </w:t>
      </w:r>
      <w:r w:rsidR="0093756C">
        <w:rPr>
          <w:rFonts w:ascii="Sabon MT" w:hAnsi="Sabon MT" w:cs="Arial"/>
          <w:sz w:val="22"/>
          <w:szCs w:val="22"/>
        </w:rPr>
        <w:t>C</w:t>
      </w:r>
      <w:r w:rsidR="0093756C" w:rsidRPr="003F0D0E">
        <w:rPr>
          <w:rFonts w:ascii="Sabon MT" w:hAnsi="Sabon MT" w:cs="Arial"/>
          <w:sz w:val="22"/>
          <w:szCs w:val="22"/>
        </w:rPr>
        <w:t xml:space="preserve">ada uno </w:t>
      </w:r>
      <w:r w:rsidR="0093756C">
        <w:rPr>
          <w:rFonts w:ascii="Sabon MT" w:hAnsi="Sabon MT" w:cs="Arial"/>
          <w:sz w:val="22"/>
          <w:szCs w:val="22"/>
        </w:rPr>
        <w:t xml:space="preserve">de </w:t>
      </w:r>
      <w:r w:rsidR="0093756C">
        <w:rPr>
          <w:rFonts w:ascii="Sabon MT" w:hAnsi="Sabon MT" w:cs="Arial"/>
          <w:sz w:val="22"/>
          <w:szCs w:val="22"/>
        </w:rPr>
        <w:t>ellos</w:t>
      </w:r>
      <w:r w:rsidR="0093756C">
        <w:rPr>
          <w:rFonts w:ascii="Sabon MT" w:hAnsi="Sabon MT" w:cs="Arial"/>
          <w:sz w:val="22"/>
          <w:szCs w:val="22"/>
        </w:rPr>
        <w:t xml:space="preserve"> </w:t>
      </w:r>
      <w:r w:rsidR="0093756C" w:rsidRPr="003F0D0E">
        <w:rPr>
          <w:rFonts w:ascii="Sabon MT" w:hAnsi="Sabon MT" w:cs="Arial"/>
          <w:sz w:val="22"/>
          <w:szCs w:val="22"/>
        </w:rPr>
        <w:t>rec</w:t>
      </w:r>
      <w:r w:rsidR="0093756C">
        <w:rPr>
          <w:rFonts w:ascii="Sabon MT" w:hAnsi="Sabon MT" w:cs="Arial"/>
          <w:sz w:val="22"/>
          <w:szCs w:val="22"/>
        </w:rPr>
        <w:t>ibe</w:t>
      </w:r>
      <w:r w:rsidR="0093756C" w:rsidRPr="003F0D0E">
        <w:rPr>
          <w:rFonts w:ascii="Sabon MT" w:hAnsi="Sabon MT" w:cs="Arial"/>
          <w:sz w:val="22"/>
          <w:szCs w:val="22"/>
        </w:rPr>
        <w:t xml:space="preserve"> la suma de $ 3.000.000 para ser utilizados en gastos predeterminados en el proyecto presentado.</w:t>
      </w:r>
    </w:p>
    <w:p w14:paraId="499D455E" w14:textId="51FF1453" w:rsidR="00CC54A4" w:rsidRPr="00CC54A4" w:rsidRDefault="00CC54A4" w:rsidP="00F66496">
      <w:pPr>
        <w:rPr>
          <w:rFonts w:ascii="Sabon MT" w:hAnsi="Sabon MT" w:cs="Arial"/>
          <w:sz w:val="22"/>
          <w:szCs w:val="22"/>
        </w:rPr>
      </w:pPr>
    </w:p>
    <w:p w14:paraId="722B73E8" w14:textId="2A100F50" w:rsidR="00CC54A4" w:rsidRDefault="00CC54A4" w:rsidP="00535BCF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Sabon MT" w:hAnsi="Sabon MT" w:cs="Arial"/>
          <w:sz w:val="22"/>
          <w:szCs w:val="22"/>
        </w:rPr>
      </w:pPr>
      <w:r w:rsidRPr="00F026F6">
        <w:rPr>
          <w:rFonts w:ascii="Sabon MT" w:hAnsi="Sabon MT" w:cs="Arial"/>
          <w:b/>
          <w:sz w:val="22"/>
          <w:szCs w:val="22"/>
        </w:rPr>
        <w:t>Prevenir es Vivir – Cruz Roja</w:t>
      </w:r>
      <w:r w:rsidRPr="00CC54A4">
        <w:rPr>
          <w:rFonts w:ascii="Sabon MT" w:hAnsi="Sabon MT" w:cs="Arial"/>
          <w:sz w:val="22"/>
          <w:szCs w:val="22"/>
        </w:rPr>
        <w:t xml:space="preserve">: </w:t>
      </w:r>
      <w:r w:rsidR="00F026F6">
        <w:rPr>
          <w:rFonts w:ascii="Sabon MT" w:hAnsi="Sabon MT" w:cs="Arial"/>
          <w:sz w:val="22"/>
          <w:szCs w:val="22"/>
        </w:rPr>
        <w:t>Promueve</w:t>
      </w:r>
      <w:r w:rsidR="00F026F6" w:rsidRPr="00CC54A4">
        <w:rPr>
          <w:rFonts w:ascii="Sabon MT" w:hAnsi="Sabon MT" w:cs="Arial"/>
          <w:sz w:val="22"/>
          <w:szCs w:val="22"/>
        </w:rPr>
        <w:t xml:space="preserve"> acciones para la toma de conciencia sobre la relevancia social de aprender y difundir técnicas antes del arr</w:t>
      </w:r>
      <w:r w:rsidR="00F026F6">
        <w:rPr>
          <w:rFonts w:ascii="Sabon MT" w:hAnsi="Sabon MT" w:cs="Arial"/>
          <w:sz w:val="22"/>
          <w:szCs w:val="22"/>
        </w:rPr>
        <w:t xml:space="preserve">ibo del Servicio de Emergencia: </w:t>
      </w:r>
      <w:r w:rsidRPr="00CC54A4">
        <w:rPr>
          <w:rFonts w:ascii="Sabon MT" w:hAnsi="Sabon MT" w:cs="Arial"/>
          <w:sz w:val="22"/>
          <w:szCs w:val="22"/>
        </w:rPr>
        <w:t xml:space="preserve">charlas en establecimientos educativos con el objetivo de capacitar a niños y adolescentes en técnicas de RCP y Primeros Auxilios, </w:t>
      </w:r>
    </w:p>
    <w:p w14:paraId="6D651EED" w14:textId="77777777" w:rsidR="00CC54A4" w:rsidRDefault="00CC54A4" w:rsidP="00CC54A4">
      <w:pPr>
        <w:pStyle w:val="Prrafodelista"/>
        <w:tabs>
          <w:tab w:val="left" w:pos="0"/>
        </w:tabs>
        <w:jc w:val="both"/>
        <w:rPr>
          <w:rFonts w:ascii="Sabon MT" w:hAnsi="Sabon MT" w:cs="Arial"/>
          <w:sz w:val="22"/>
          <w:szCs w:val="22"/>
        </w:rPr>
      </w:pPr>
    </w:p>
    <w:p w14:paraId="3D8C9E67" w14:textId="6E686B2C" w:rsidR="00CC54A4" w:rsidRDefault="00CC54A4" w:rsidP="00CC54A4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Sabon MT" w:hAnsi="Sabon MT" w:cs="Arial"/>
          <w:sz w:val="22"/>
          <w:szCs w:val="22"/>
        </w:rPr>
      </w:pPr>
      <w:r w:rsidRPr="00F026F6">
        <w:rPr>
          <w:rFonts w:ascii="Sabon MT" w:hAnsi="Sabon MT" w:cs="Arial"/>
          <w:b/>
          <w:sz w:val="22"/>
          <w:szCs w:val="22"/>
        </w:rPr>
        <w:t>Capacitación Laboral y Talleres Deportivos – Centro Juvenil San Luis Gonzaga</w:t>
      </w:r>
      <w:r>
        <w:rPr>
          <w:rFonts w:ascii="Sabon MT" w:hAnsi="Sabon MT" w:cs="Arial"/>
          <w:sz w:val="22"/>
          <w:szCs w:val="22"/>
        </w:rPr>
        <w:t xml:space="preserve">: </w:t>
      </w:r>
      <w:r w:rsidRPr="00CC54A4">
        <w:rPr>
          <w:rFonts w:ascii="Sabon MT" w:hAnsi="Sabon MT" w:cs="Arial"/>
          <w:sz w:val="22"/>
          <w:szCs w:val="22"/>
        </w:rPr>
        <w:t xml:space="preserve">programa de capacitaciones y talleres que </w:t>
      </w:r>
      <w:r w:rsidR="0093756C">
        <w:rPr>
          <w:rFonts w:ascii="Sabon MT" w:hAnsi="Sabon MT" w:cs="Arial"/>
          <w:sz w:val="22"/>
          <w:szCs w:val="22"/>
        </w:rPr>
        <w:t>ofrecen</w:t>
      </w:r>
      <w:r w:rsidRPr="00CC54A4">
        <w:rPr>
          <w:rFonts w:ascii="Sabon MT" w:hAnsi="Sabon MT" w:cs="Arial"/>
          <w:sz w:val="22"/>
          <w:szCs w:val="22"/>
        </w:rPr>
        <w:t xml:space="preserve"> oportunidades de construir de manera </w:t>
      </w:r>
      <w:r w:rsidRPr="00CC54A4">
        <w:rPr>
          <w:rFonts w:ascii="Sabon MT" w:hAnsi="Sabon MT" w:cs="Arial"/>
          <w:sz w:val="22"/>
          <w:szCs w:val="22"/>
        </w:rPr>
        <w:lastRenderedPageBreak/>
        <w:t xml:space="preserve">significativa </w:t>
      </w:r>
      <w:r>
        <w:rPr>
          <w:rFonts w:ascii="Sabon MT" w:hAnsi="Sabon MT" w:cs="Arial"/>
          <w:sz w:val="22"/>
          <w:szCs w:val="22"/>
        </w:rPr>
        <w:t>el proyecto de vida a jóvenes en situación de vulnerabilidad fortaleciendo su integridad a tr</w:t>
      </w:r>
      <w:r w:rsidR="002347EC">
        <w:rPr>
          <w:rFonts w:ascii="Sabon MT" w:hAnsi="Sabon MT" w:cs="Arial"/>
          <w:sz w:val="22"/>
          <w:szCs w:val="22"/>
        </w:rPr>
        <w:t>avés de espacios de contención.</w:t>
      </w:r>
    </w:p>
    <w:p w14:paraId="521A296E" w14:textId="77777777" w:rsidR="002347EC" w:rsidRPr="002347EC" w:rsidRDefault="002347EC" w:rsidP="002347EC">
      <w:pPr>
        <w:pStyle w:val="Prrafodelista"/>
        <w:rPr>
          <w:rFonts w:ascii="Sabon MT" w:hAnsi="Sabon MT" w:cs="Arial"/>
          <w:sz w:val="22"/>
          <w:szCs w:val="22"/>
        </w:rPr>
      </w:pPr>
    </w:p>
    <w:p w14:paraId="1278BD6F" w14:textId="361B09F4" w:rsidR="002347EC" w:rsidRPr="002347EC" w:rsidRDefault="002347EC" w:rsidP="002347EC">
      <w:pPr>
        <w:pStyle w:val="Prrafodelista"/>
        <w:numPr>
          <w:ilvl w:val="0"/>
          <w:numId w:val="8"/>
        </w:numPr>
        <w:rPr>
          <w:sz w:val="22"/>
          <w:szCs w:val="22"/>
          <w:lang w:val="es-AR" w:eastAsia="en-US"/>
        </w:rPr>
      </w:pPr>
      <w:r w:rsidRPr="0093756C">
        <w:rPr>
          <w:rFonts w:ascii="Sabon MT" w:hAnsi="Sabon MT" w:cs="Arial"/>
          <w:b/>
          <w:sz w:val="22"/>
          <w:szCs w:val="22"/>
        </w:rPr>
        <w:t>1 Curso Universitario Breve x 1 Acción Solidaria - Centro Cultural UTN FRSN</w:t>
      </w:r>
      <w:r w:rsidRPr="002347EC">
        <w:rPr>
          <w:rFonts w:ascii="Sabon MT" w:hAnsi="Sabon MT" w:cs="Arial"/>
          <w:sz w:val="22"/>
          <w:szCs w:val="22"/>
        </w:rPr>
        <w:t xml:space="preserve">: </w:t>
      </w:r>
      <w:r>
        <w:t>capacitación en oficio a personas excluidas del sistema laboral y educativos para que puedan emprender y generar fuentes de ingreso propias, dándoles además un kit de herramientas iniciales para que puedan comenzar a trabajar y fomentar que realicen una acción solidaria dentro de la comunidad en la que viven</w:t>
      </w:r>
    </w:p>
    <w:p w14:paraId="6230EAC3" w14:textId="77777777" w:rsidR="008472AB" w:rsidRPr="003F0D0E" w:rsidRDefault="008472AB" w:rsidP="001C1E0F">
      <w:pPr>
        <w:pStyle w:val="Ternium-Title"/>
        <w:tabs>
          <w:tab w:val="left" w:pos="0"/>
        </w:tabs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</w:p>
    <w:sectPr w:rsidR="008472AB" w:rsidRPr="003F0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C831" w14:textId="77777777" w:rsidR="00202F63" w:rsidRDefault="00202F63" w:rsidP="0017590C">
      <w:r>
        <w:separator/>
      </w:r>
    </w:p>
  </w:endnote>
  <w:endnote w:type="continuationSeparator" w:id="0">
    <w:p w14:paraId="0E37BF19" w14:textId="77777777" w:rsidR="00202F63" w:rsidRDefault="00202F63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847ED" w14:textId="77777777" w:rsidR="00202F63" w:rsidRDefault="00202F63" w:rsidP="0017590C">
      <w:r>
        <w:separator/>
      </w:r>
    </w:p>
  </w:footnote>
  <w:footnote w:type="continuationSeparator" w:id="0">
    <w:p w14:paraId="2C4BE3F2" w14:textId="77777777" w:rsidR="00202F63" w:rsidRDefault="00202F63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2EC"/>
    <w:multiLevelType w:val="hybridMultilevel"/>
    <w:tmpl w:val="B1AA6C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2E71"/>
    <w:multiLevelType w:val="hybridMultilevel"/>
    <w:tmpl w:val="E5E87AE2"/>
    <w:lvl w:ilvl="0" w:tplc="2C0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60187"/>
    <w:rsid w:val="0007220B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195323"/>
    <w:rsid w:val="001C07E5"/>
    <w:rsid w:val="001C1E0F"/>
    <w:rsid w:val="00202F63"/>
    <w:rsid w:val="002347EC"/>
    <w:rsid w:val="0026269B"/>
    <w:rsid w:val="002816A6"/>
    <w:rsid w:val="002826E7"/>
    <w:rsid w:val="002C290A"/>
    <w:rsid w:val="002C7A8F"/>
    <w:rsid w:val="002C7B9F"/>
    <w:rsid w:val="002D6CD2"/>
    <w:rsid w:val="002F6B97"/>
    <w:rsid w:val="00303D9E"/>
    <w:rsid w:val="00310E90"/>
    <w:rsid w:val="003304A7"/>
    <w:rsid w:val="00394E5F"/>
    <w:rsid w:val="003F0D0E"/>
    <w:rsid w:val="003F7BB3"/>
    <w:rsid w:val="00423E14"/>
    <w:rsid w:val="004349B9"/>
    <w:rsid w:val="00445C31"/>
    <w:rsid w:val="0048101A"/>
    <w:rsid w:val="004C785B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35B60"/>
    <w:rsid w:val="00655DCB"/>
    <w:rsid w:val="00665EDF"/>
    <w:rsid w:val="00684915"/>
    <w:rsid w:val="006F0C11"/>
    <w:rsid w:val="006F23BD"/>
    <w:rsid w:val="00723533"/>
    <w:rsid w:val="00795FF6"/>
    <w:rsid w:val="0079634D"/>
    <w:rsid w:val="007C2199"/>
    <w:rsid w:val="007C6115"/>
    <w:rsid w:val="008053B2"/>
    <w:rsid w:val="00806ECC"/>
    <w:rsid w:val="008352A6"/>
    <w:rsid w:val="008472AB"/>
    <w:rsid w:val="008478F8"/>
    <w:rsid w:val="008D5198"/>
    <w:rsid w:val="008E3271"/>
    <w:rsid w:val="008F16FD"/>
    <w:rsid w:val="0091685B"/>
    <w:rsid w:val="0093756C"/>
    <w:rsid w:val="00944F95"/>
    <w:rsid w:val="00953796"/>
    <w:rsid w:val="00985129"/>
    <w:rsid w:val="009E1D60"/>
    <w:rsid w:val="00A26A0C"/>
    <w:rsid w:val="00A75672"/>
    <w:rsid w:val="00A95734"/>
    <w:rsid w:val="00AA5790"/>
    <w:rsid w:val="00AB3C5D"/>
    <w:rsid w:val="00B25F10"/>
    <w:rsid w:val="00B83AB9"/>
    <w:rsid w:val="00B83C52"/>
    <w:rsid w:val="00C23BFB"/>
    <w:rsid w:val="00CA761B"/>
    <w:rsid w:val="00CC54A4"/>
    <w:rsid w:val="00CE00C0"/>
    <w:rsid w:val="00D0038B"/>
    <w:rsid w:val="00D25D40"/>
    <w:rsid w:val="00D26F61"/>
    <w:rsid w:val="00D31DB1"/>
    <w:rsid w:val="00D61039"/>
    <w:rsid w:val="00D62987"/>
    <w:rsid w:val="00E46C29"/>
    <w:rsid w:val="00E5059F"/>
    <w:rsid w:val="00E95490"/>
    <w:rsid w:val="00EB3595"/>
    <w:rsid w:val="00EB3E77"/>
    <w:rsid w:val="00EB6574"/>
    <w:rsid w:val="00EF5229"/>
    <w:rsid w:val="00F026F6"/>
    <w:rsid w:val="00F1451D"/>
    <w:rsid w:val="00F4035C"/>
    <w:rsid w:val="00F4227D"/>
    <w:rsid w:val="00F56CE5"/>
    <w:rsid w:val="00F66204"/>
    <w:rsid w:val="00F66496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E868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3c3bf-1aca-43ca-8cf1-20782aaf5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66E4146B787149B0A944D92367DA91" ma:contentTypeVersion="16" ma:contentTypeDescription="Crear nuevo documento." ma:contentTypeScope="" ma:versionID="e6633991eacb7c60224a1084d5b045a7">
  <xsd:schema xmlns:xsd="http://www.w3.org/2001/XMLSchema" xmlns:xs="http://www.w3.org/2001/XMLSchema" xmlns:p="http://schemas.microsoft.com/office/2006/metadata/properties" xmlns:ns3="a346fef1-6952-4bd6-b4af-7c3191ec89dd" xmlns:ns4="5e03c3bf-1aca-43ca-8cf1-20782aaf5dc0" targetNamespace="http://schemas.microsoft.com/office/2006/metadata/properties" ma:root="true" ma:fieldsID="2daf240b7739d51eafa5c82f3b707515" ns3:_="" ns4:_="">
    <xsd:import namespace="a346fef1-6952-4bd6-b4af-7c3191ec89dd"/>
    <xsd:import namespace="5e03c3bf-1aca-43ca-8cf1-20782aaf5d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6fef1-6952-4bd6-b4af-7c3191ec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c3bf-1aca-43ca-8cf1-20782aa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5e03c3bf-1aca-43ca-8cf1-20782aaf5dc0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26B12-4A43-468F-ABCF-69BA5B24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6fef1-6952-4bd6-b4af-7c3191ec89dd"/>
    <ds:schemaRef ds:uri="5e03c3bf-1aca-43ca-8cf1-20782aaf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dcterms:created xsi:type="dcterms:W3CDTF">2024-06-11T13:54:00Z</dcterms:created>
  <dcterms:modified xsi:type="dcterms:W3CDTF">2024-06-11T13:56:00Z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0x0101008B66E4146B787149B0A944D92367DA91</vt:lpwstr>
  </property>
</Properties>
</file>